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int="eastAsia" w:hAnsi="宋体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人: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>武汉城投置业集团有限公司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为了确保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>置业集团公司企业文化建设咨询服务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工作顺利进行，我方将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严格执行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采购相关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法律法规，并完全接受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>置业集团公司企业文化建设咨询服务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采购公告的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所有内容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及要求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，为此作出如下承诺：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根据企业自身情况，理性报价，不会以低于成本的报价竞标，并愿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按照采购人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要求承包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本项目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并签署服务合同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。否则，我方愿意承担任何风险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填写）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2.本单位及拟派遣项目团队近三年（从公告截止之日起倒算）内无任何行贿犯罪记录。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4.我方承诺履行项目管理班子配备义务，不擅自更换遴选时的项目团队，如不能继续履行职责确需更换的，所更换人员为我单位职工，其从业资格不低于遴选时承诺条件。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如果违反本承诺书中任何条款，我方愿意接受：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（1）视作我方单方面违约，并按照合同规定向贵方支付违约金或解除合同；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（2）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贵方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今后可拒绝我方参与投标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（3）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相关主管部门的不良行为记录、行政处罚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" w:firstLineChars="200"/>
        <w:jc w:val="righ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-28"/>
          <w:kern w:val="2"/>
          <w:sz w:val="32"/>
          <w:szCs w:val="32"/>
          <w:lang w:val="en-US" w:eastAsia="zh-CN" w:bidi="ar-SA"/>
        </w:rPr>
        <w:t>法定代表人或授权委托人（签字或盖私章）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   签署日期：    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NDY0OTVjYmMyNjY4ZWFiMTE1OThmOTU5OTBiNDcifQ=="/>
    <w:docVar w:name="KSO_WPS_MARK_KEY" w:val="c315d04f-2dde-4492-8b50-c614ea9dc181"/>
  </w:docVars>
  <w:rsids>
    <w:rsidRoot w:val="5E47003E"/>
    <w:rsid w:val="33BC671A"/>
    <w:rsid w:val="5E4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563</Characters>
  <Lines>0</Lines>
  <Paragraphs>0</Paragraphs>
  <TotalTime>1</TotalTime>
  <ScaleCrop>false</ScaleCrop>
  <LinksUpToDate>false</LinksUpToDate>
  <CharactersWithSpaces>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2020-12-08T01:51:00Z</dcterms:created>
  <dc:creator>廖蜀黍</dc:creator>
  <cp:lastModifiedBy>曹娟/综合管理部/武汉城投置业集团有限公司</cp:lastModifiedBy>
  <dcterms:modified xsi:type="dcterms:W3CDTF">2024-04-10T03:55:01Z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990879C062D64A5A9AF3A5F94B0139A4</vt:lpwstr>
  </property>
</Properties>
</file>